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98" w:rsidRPr="001775C7" w:rsidRDefault="00C42398" w:rsidP="00C42398">
      <w:pPr>
        <w:spacing w:before="100" w:beforeAutospacing="1" w:after="100" w:afterAutospacing="1" w:line="240" w:lineRule="auto"/>
        <w:ind w:right="634"/>
        <w:jc w:val="center"/>
        <w:outlineLvl w:val="0"/>
        <w:rPr>
          <w:rFonts w:asciiTheme="majorHAnsi" w:hAnsiTheme="majorHAnsi"/>
          <w:sz w:val="52"/>
          <w:szCs w:val="52"/>
        </w:rPr>
      </w:pPr>
      <w:r w:rsidRPr="001775C7">
        <w:rPr>
          <w:rFonts w:asciiTheme="majorHAnsi" w:hAnsiTheme="majorHAnsi"/>
          <w:sz w:val="52"/>
          <w:szCs w:val="52"/>
        </w:rPr>
        <w:t>Appendix A: Suggested Schedule for Group Reading</w:t>
      </w:r>
      <w:r>
        <w:rPr>
          <w:rFonts w:asciiTheme="majorHAnsi" w:hAnsiTheme="majorHAnsi"/>
          <w:sz w:val="52"/>
          <w:szCs w:val="52"/>
        </w:rPr>
        <w:br/>
      </w:r>
      <w:r w:rsidRPr="001775C7">
        <w:rPr>
          <w:rFonts w:asciiTheme="majorHAnsi" w:hAnsiTheme="majorHAnsi"/>
          <w:sz w:val="52"/>
          <w:szCs w:val="52"/>
        </w:rPr>
        <w:t>and Teacher Read-</w:t>
      </w:r>
      <w:proofErr w:type="spellStart"/>
      <w:r>
        <w:rPr>
          <w:rFonts w:asciiTheme="majorHAnsi" w:hAnsiTheme="majorHAnsi"/>
          <w:sz w:val="52"/>
          <w:szCs w:val="52"/>
        </w:rPr>
        <w:t>A</w:t>
      </w:r>
      <w:r w:rsidRPr="001775C7">
        <w:rPr>
          <w:rFonts w:asciiTheme="majorHAnsi" w:hAnsiTheme="majorHAnsi"/>
          <w:sz w:val="52"/>
          <w:szCs w:val="52"/>
        </w:rPr>
        <w:t>louds</w:t>
      </w:r>
      <w:proofErr w:type="spellEnd"/>
    </w:p>
    <w:tbl>
      <w:tblPr>
        <w:tblStyle w:val="TableGrid"/>
        <w:tblW w:w="0" w:type="auto"/>
        <w:tblLook w:val="04A0" w:firstRow="1" w:lastRow="0" w:firstColumn="1" w:lastColumn="0" w:noHBand="0" w:noVBand="1"/>
      </w:tblPr>
      <w:tblGrid>
        <w:gridCol w:w="1458"/>
        <w:gridCol w:w="2970"/>
        <w:gridCol w:w="2610"/>
        <w:gridCol w:w="2520"/>
        <w:gridCol w:w="3870"/>
      </w:tblGrid>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b/>
                <w:sz w:val="22"/>
                <w:szCs w:val="22"/>
              </w:rPr>
            </w:pPr>
            <w:r w:rsidRPr="00C42398">
              <w:rPr>
                <w:rFonts w:asciiTheme="majorHAnsi" w:hAnsiTheme="majorHAnsi"/>
                <w:b/>
                <w:sz w:val="22"/>
                <w:szCs w:val="22"/>
              </w:rPr>
              <w:t>Lesson</w:t>
            </w:r>
          </w:p>
        </w:tc>
        <w:tc>
          <w:tcPr>
            <w:tcW w:w="2970" w:type="dxa"/>
          </w:tcPr>
          <w:p w:rsidR="00C42398" w:rsidRPr="00C42398" w:rsidRDefault="00C42398" w:rsidP="003B42A9">
            <w:pPr>
              <w:spacing w:after="0" w:line="240" w:lineRule="auto"/>
              <w:ind w:right="122"/>
              <w:contextualSpacing/>
              <w:jc w:val="center"/>
              <w:rPr>
                <w:rFonts w:asciiTheme="majorHAnsi" w:hAnsiTheme="majorHAnsi"/>
                <w:b/>
                <w:i/>
                <w:sz w:val="22"/>
                <w:szCs w:val="22"/>
              </w:rPr>
            </w:pPr>
            <w:r w:rsidRPr="00C42398">
              <w:rPr>
                <w:rFonts w:asciiTheme="majorHAnsi" w:hAnsiTheme="majorHAnsi"/>
                <w:b/>
                <w:i/>
                <w:sz w:val="22"/>
                <w:szCs w:val="22"/>
              </w:rPr>
              <w:t>My Father’s Dragon</w:t>
            </w:r>
          </w:p>
        </w:tc>
        <w:tc>
          <w:tcPr>
            <w:tcW w:w="2610" w:type="dxa"/>
          </w:tcPr>
          <w:p w:rsidR="00C42398" w:rsidRPr="00C42398" w:rsidRDefault="00C42398" w:rsidP="003B42A9">
            <w:pPr>
              <w:spacing w:after="0" w:line="240" w:lineRule="auto"/>
              <w:contextualSpacing/>
              <w:jc w:val="center"/>
              <w:rPr>
                <w:rFonts w:asciiTheme="majorHAnsi" w:hAnsiTheme="majorHAnsi"/>
                <w:b/>
                <w:i/>
                <w:sz w:val="22"/>
                <w:szCs w:val="22"/>
              </w:rPr>
            </w:pPr>
            <w:r w:rsidRPr="00C42398">
              <w:rPr>
                <w:rFonts w:asciiTheme="majorHAnsi" w:hAnsiTheme="majorHAnsi"/>
                <w:b/>
                <w:i/>
                <w:sz w:val="22"/>
                <w:szCs w:val="22"/>
              </w:rPr>
              <w:t>Mr. Popper’s Penguins</w:t>
            </w:r>
          </w:p>
        </w:tc>
        <w:tc>
          <w:tcPr>
            <w:tcW w:w="2520" w:type="dxa"/>
          </w:tcPr>
          <w:p w:rsidR="00C42398" w:rsidRPr="00C42398" w:rsidRDefault="00C42398" w:rsidP="003B42A9">
            <w:pPr>
              <w:spacing w:after="0" w:line="240" w:lineRule="auto"/>
              <w:contextualSpacing/>
              <w:jc w:val="center"/>
              <w:rPr>
                <w:rFonts w:asciiTheme="majorHAnsi" w:hAnsiTheme="majorHAnsi"/>
                <w:b/>
                <w:i/>
                <w:sz w:val="22"/>
                <w:szCs w:val="22"/>
              </w:rPr>
            </w:pPr>
            <w:r w:rsidRPr="00C42398">
              <w:rPr>
                <w:rFonts w:asciiTheme="majorHAnsi" w:hAnsiTheme="majorHAnsi"/>
                <w:b/>
                <w:i/>
                <w:sz w:val="22"/>
                <w:szCs w:val="22"/>
              </w:rPr>
              <w:t>Stuart Little</w:t>
            </w:r>
          </w:p>
        </w:tc>
        <w:tc>
          <w:tcPr>
            <w:tcW w:w="3870" w:type="dxa"/>
          </w:tcPr>
          <w:p w:rsidR="00C42398" w:rsidRPr="00C42398" w:rsidRDefault="00C42398" w:rsidP="003B42A9">
            <w:pPr>
              <w:spacing w:after="0" w:line="240" w:lineRule="auto"/>
              <w:contextualSpacing/>
              <w:jc w:val="center"/>
              <w:rPr>
                <w:rFonts w:asciiTheme="majorHAnsi" w:hAnsiTheme="majorHAnsi"/>
                <w:b/>
                <w:sz w:val="22"/>
                <w:szCs w:val="22"/>
              </w:rPr>
            </w:pPr>
            <w:r w:rsidRPr="00C42398">
              <w:rPr>
                <w:rFonts w:asciiTheme="majorHAnsi" w:hAnsiTheme="majorHAnsi"/>
                <w:b/>
                <w:sz w:val="22"/>
                <w:szCs w:val="22"/>
              </w:rPr>
              <w:t>Teacher Read-</w:t>
            </w:r>
            <w:proofErr w:type="spellStart"/>
            <w:r w:rsidRPr="00C42398">
              <w:rPr>
                <w:rFonts w:asciiTheme="majorHAnsi" w:hAnsiTheme="majorHAnsi"/>
                <w:b/>
                <w:sz w:val="22"/>
                <w:szCs w:val="22"/>
              </w:rPr>
              <w:t>Alouds</w:t>
            </w:r>
            <w:proofErr w:type="spellEnd"/>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1</w:t>
            </w:r>
          </w:p>
          <w:p w:rsidR="00C42398" w:rsidRPr="00C42398" w:rsidRDefault="00C42398" w:rsidP="003B42A9">
            <w:pPr>
              <w:spacing w:after="0" w:line="240" w:lineRule="auto"/>
              <w:contextualSpacing/>
              <w:jc w:val="center"/>
              <w:rPr>
                <w:rFonts w:asciiTheme="majorHAnsi" w:hAnsiTheme="majorHAnsi"/>
                <w:sz w:val="22"/>
                <w:szCs w:val="22"/>
              </w:rPr>
            </w:pP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 xml:space="preserve">Chapters 1–2 </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1–2</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1–3</w:t>
            </w:r>
          </w:p>
        </w:tc>
        <w:tc>
          <w:tcPr>
            <w:tcW w:w="3870" w:type="dxa"/>
          </w:tcPr>
          <w:p w:rsidR="00C42398" w:rsidRPr="00C42398" w:rsidRDefault="00C42398" w:rsidP="003B42A9">
            <w:pPr>
              <w:spacing w:after="0" w:line="240" w:lineRule="auto"/>
              <w:contextualSpacing/>
              <w:rPr>
                <w:rFonts w:asciiTheme="majorHAnsi" w:hAnsiTheme="majorHAnsi"/>
                <w:sz w:val="22"/>
                <w:szCs w:val="22"/>
              </w:rPr>
            </w:pP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2</w:t>
            </w:r>
          </w:p>
          <w:p w:rsidR="00C42398" w:rsidRPr="00C42398" w:rsidRDefault="00C42398" w:rsidP="003B42A9">
            <w:pPr>
              <w:spacing w:after="0" w:line="240" w:lineRule="auto"/>
              <w:contextualSpacing/>
              <w:jc w:val="center"/>
              <w:rPr>
                <w:rFonts w:asciiTheme="majorHAnsi" w:hAnsiTheme="majorHAnsi"/>
                <w:sz w:val="22"/>
                <w:szCs w:val="22"/>
              </w:rPr>
            </w:pP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w:t>
            </w:r>
            <w:bookmarkStart w:id="0" w:name="_GoBack"/>
            <w:bookmarkEnd w:id="0"/>
            <w:r w:rsidRPr="00C42398">
              <w:rPr>
                <w:rFonts w:asciiTheme="majorHAnsi" w:hAnsiTheme="majorHAnsi"/>
                <w:sz w:val="22"/>
                <w:szCs w:val="22"/>
              </w:rPr>
              <w:t>ers 3–4</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3–4</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4–6</w:t>
            </w:r>
          </w:p>
        </w:tc>
        <w:tc>
          <w:tcPr>
            <w:tcW w:w="38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i/>
                <w:sz w:val="22"/>
                <w:szCs w:val="22"/>
              </w:rPr>
              <w:t>A Cricket in Times Square,</w:t>
            </w:r>
          </w:p>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1–2</w:t>
            </w: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3</w:t>
            </w: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5</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5–6</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7–8</w:t>
            </w:r>
          </w:p>
        </w:tc>
        <w:tc>
          <w:tcPr>
            <w:tcW w:w="38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Selected pages from:</w:t>
            </w:r>
          </w:p>
          <w:p w:rsidR="00C42398" w:rsidRPr="00C42398" w:rsidRDefault="00C42398" w:rsidP="003B42A9">
            <w:pPr>
              <w:spacing w:after="0" w:line="240" w:lineRule="auto"/>
              <w:contextualSpacing/>
              <w:rPr>
                <w:rFonts w:asciiTheme="majorHAnsi" w:hAnsiTheme="majorHAnsi"/>
                <w:i/>
                <w:sz w:val="22"/>
                <w:szCs w:val="22"/>
              </w:rPr>
            </w:pPr>
            <w:r w:rsidRPr="00C42398">
              <w:rPr>
                <w:rFonts w:asciiTheme="majorHAnsi" w:hAnsiTheme="majorHAnsi"/>
                <w:i/>
                <w:sz w:val="22"/>
                <w:szCs w:val="22"/>
              </w:rPr>
              <w:t>Baseball Fever</w:t>
            </w:r>
          </w:p>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i/>
                <w:sz w:val="22"/>
                <w:szCs w:val="22"/>
              </w:rPr>
              <w:t>The Best of Everything Baseball Book</w:t>
            </w: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4</w:t>
            </w:r>
          </w:p>
          <w:p w:rsidR="00C42398" w:rsidRPr="00C42398" w:rsidRDefault="00C42398" w:rsidP="003B42A9">
            <w:pPr>
              <w:spacing w:after="0" w:line="240" w:lineRule="auto"/>
              <w:contextualSpacing/>
              <w:jc w:val="center"/>
              <w:rPr>
                <w:rFonts w:asciiTheme="majorHAnsi" w:hAnsiTheme="majorHAnsi"/>
                <w:sz w:val="22"/>
                <w:szCs w:val="22"/>
              </w:rPr>
            </w:pP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6</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7–8</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9–10</w:t>
            </w:r>
          </w:p>
        </w:tc>
        <w:tc>
          <w:tcPr>
            <w:tcW w:w="3870" w:type="dxa"/>
          </w:tcPr>
          <w:p w:rsidR="00C42398" w:rsidRPr="00C42398" w:rsidRDefault="00C42398" w:rsidP="003B42A9">
            <w:pPr>
              <w:spacing w:after="0" w:line="240" w:lineRule="auto"/>
              <w:contextualSpacing/>
              <w:rPr>
                <w:rFonts w:asciiTheme="majorHAnsi" w:hAnsiTheme="majorHAnsi"/>
                <w:sz w:val="22"/>
                <w:szCs w:val="22"/>
              </w:rPr>
            </w:pPr>
            <w:proofErr w:type="spellStart"/>
            <w:r w:rsidRPr="00C42398">
              <w:rPr>
                <w:rFonts w:asciiTheme="majorHAnsi" w:hAnsiTheme="majorHAnsi"/>
                <w:i/>
                <w:sz w:val="22"/>
                <w:szCs w:val="22"/>
              </w:rPr>
              <w:t>Beezus</w:t>
            </w:r>
            <w:proofErr w:type="spellEnd"/>
            <w:r w:rsidRPr="00C42398">
              <w:rPr>
                <w:rFonts w:asciiTheme="majorHAnsi" w:hAnsiTheme="majorHAnsi"/>
                <w:i/>
                <w:sz w:val="22"/>
                <w:szCs w:val="22"/>
              </w:rPr>
              <w:t xml:space="preserve"> and Ramona, </w:t>
            </w:r>
            <w:r w:rsidRPr="00C42398">
              <w:rPr>
                <w:rFonts w:asciiTheme="majorHAnsi" w:hAnsiTheme="majorHAnsi"/>
                <w:sz w:val="22"/>
                <w:szCs w:val="22"/>
              </w:rPr>
              <w:t>pages 1–5</w:t>
            </w: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5</w:t>
            </w: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 xml:space="preserve">Chapters 7–8 </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9–11</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11</w:t>
            </w:r>
          </w:p>
        </w:tc>
        <w:tc>
          <w:tcPr>
            <w:tcW w:w="38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i/>
                <w:sz w:val="22"/>
                <w:szCs w:val="22"/>
              </w:rPr>
              <w:t xml:space="preserve">The World According to Humphrey, </w:t>
            </w:r>
            <w:r w:rsidRPr="00C42398">
              <w:rPr>
                <w:rFonts w:asciiTheme="majorHAnsi" w:hAnsiTheme="majorHAnsi"/>
                <w:sz w:val="22"/>
                <w:szCs w:val="22"/>
              </w:rPr>
              <w:t>chapter 1</w:t>
            </w:r>
          </w:p>
          <w:p w:rsidR="00C42398" w:rsidRPr="00C42398" w:rsidRDefault="00C42398" w:rsidP="003B42A9">
            <w:pPr>
              <w:spacing w:after="0" w:line="240" w:lineRule="auto"/>
              <w:contextualSpacing/>
              <w:rPr>
                <w:rFonts w:asciiTheme="majorHAnsi" w:hAnsiTheme="majorHAnsi"/>
                <w:sz w:val="22"/>
                <w:szCs w:val="22"/>
              </w:rPr>
            </w:pP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6</w:t>
            </w:r>
          </w:p>
          <w:p w:rsidR="00C42398" w:rsidRPr="00C42398" w:rsidRDefault="00C42398" w:rsidP="003B42A9">
            <w:pPr>
              <w:spacing w:after="0" w:line="240" w:lineRule="auto"/>
              <w:contextualSpacing/>
              <w:jc w:val="center"/>
              <w:rPr>
                <w:rFonts w:asciiTheme="majorHAnsi" w:hAnsiTheme="majorHAnsi"/>
                <w:sz w:val="22"/>
                <w:szCs w:val="22"/>
              </w:rPr>
            </w:pP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9</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12–14</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12</w:t>
            </w:r>
          </w:p>
        </w:tc>
        <w:tc>
          <w:tcPr>
            <w:tcW w:w="3870" w:type="dxa"/>
          </w:tcPr>
          <w:p w:rsidR="00C42398" w:rsidRPr="00C42398" w:rsidRDefault="00C42398" w:rsidP="003B42A9">
            <w:pPr>
              <w:spacing w:after="0" w:line="240" w:lineRule="auto"/>
              <w:contextualSpacing/>
              <w:rPr>
                <w:rFonts w:asciiTheme="majorHAnsi" w:hAnsiTheme="majorHAnsi"/>
                <w:sz w:val="22"/>
                <w:szCs w:val="22"/>
              </w:rPr>
            </w:pP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7</w:t>
            </w:r>
          </w:p>
          <w:p w:rsidR="00C42398" w:rsidRPr="00C42398" w:rsidRDefault="00C42398" w:rsidP="003B42A9">
            <w:pPr>
              <w:spacing w:after="0" w:line="240" w:lineRule="auto"/>
              <w:contextualSpacing/>
              <w:jc w:val="center"/>
              <w:rPr>
                <w:rFonts w:asciiTheme="majorHAnsi" w:hAnsiTheme="majorHAnsi"/>
                <w:sz w:val="22"/>
                <w:szCs w:val="22"/>
              </w:rPr>
            </w:pP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10</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15–17</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13</w:t>
            </w:r>
          </w:p>
        </w:tc>
        <w:tc>
          <w:tcPr>
            <w:tcW w:w="3870" w:type="dxa"/>
          </w:tcPr>
          <w:p w:rsidR="00C42398" w:rsidRPr="00C42398" w:rsidRDefault="00C42398" w:rsidP="003B42A9">
            <w:pPr>
              <w:spacing w:after="0" w:line="240" w:lineRule="auto"/>
              <w:contextualSpacing/>
              <w:rPr>
                <w:rFonts w:asciiTheme="majorHAnsi" w:hAnsiTheme="majorHAnsi"/>
                <w:sz w:val="22"/>
                <w:szCs w:val="22"/>
              </w:rPr>
            </w:pP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8</w:t>
            </w:r>
          </w:p>
        </w:tc>
        <w:tc>
          <w:tcPr>
            <w:tcW w:w="29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Reread favorite chapter</w:t>
            </w:r>
          </w:p>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Review sequels</w:t>
            </w:r>
          </w:p>
        </w:tc>
        <w:tc>
          <w:tcPr>
            <w:tcW w:w="261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18–20</w:t>
            </w:r>
          </w:p>
        </w:tc>
        <w:tc>
          <w:tcPr>
            <w:tcW w:w="252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Chapters 14–15</w:t>
            </w:r>
          </w:p>
        </w:tc>
        <w:tc>
          <w:tcPr>
            <w:tcW w:w="3870" w:type="dxa"/>
          </w:tcPr>
          <w:p w:rsidR="00C42398" w:rsidRPr="00C42398" w:rsidRDefault="00C42398" w:rsidP="003B42A9">
            <w:pPr>
              <w:spacing w:after="0" w:line="240" w:lineRule="auto"/>
              <w:contextualSpacing/>
              <w:rPr>
                <w:rFonts w:asciiTheme="majorHAnsi" w:hAnsiTheme="majorHAnsi"/>
                <w:i/>
                <w:sz w:val="22"/>
                <w:szCs w:val="22"/>
              </w:rPr>
            </w:pPr>
            <w:r w:rsidRPr="00C42398">
              <w:rPr>
                <w:rFonts w:asciiTheme="majorHAnsi" w:hAnsiTheme="majorHAnsi"/>
                <w:i/>
                <w:sz w:val="22"/>
                <w:szCs w:val="22"/>
              </w:rPr>
              <w:t xml:space="preserve">My Father’s Dragon: </w:t>
            </w:r>
            <w:r w:rsidRPr="00C42398">
              <w:rPr>
                <w:rFonts w:asciiTheme="majorHAnsi" w:hAnsiTheme="majorHAnsi"/>
                <w:sz w:val="22"/>
                <w:szCs w:val="22"/>
              </w:rPr>
              <w:t>One chapter</w:t>
            </w: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9</w:t>
            </w:r>
          </w:p>
        </w:tc>
        <w:tc>
          <w:tcPr>
            <w:tcW w:w="2970" w:type="dxa"/>
          </w:tcPr>
          <w:p w:rsidR="00C42398" w:rsidRPr="00C42398" w:rsidRDefault="00C42398" w:rsidP="003B42A9">
            <w:pPr>
              <w:spacing w:after="0" w:line="240" w:lineRule="auto"/>
              <w:contextualSpacing/>
              <w:rPr>
                <w:rFonts w:asciiTheme="majorHAnsi" w:hAnsiTheme="majorHAnsi"/>
                <w:sz w:val="22"/>
                <w:szCs w:val="22"/>
              </w:rPr>
            </w:pPr>
          </w:p>
        </w:tc>
        <w:tc>
          <w:tcPr>
            <w:tcW w:w="2610" w:type="dxa"/>
          </w:tcPr>
          <w:p w:rsidR="00C42398" w:rsidRPr="00C42398" w:rsidRDefault="00C42398" w:rsidP="003B42A9">
            <w:pPr>
              <w:spacing w:after="0" w:line="240" w:lineRule="auto"/>
              <w:contextualSpacing/>
              <w:rPr>
                <w:rFonts w:asciiTheme="majorHAnsi" w:hAnsiTheme="majorHAnsi"/>
                <w:sz w:val="22"/>
                <w:szCs w:val="22"/>
              </w:rPr>
            </w:pPr>
          </w:p>
        </w:tc>
        <w:tc>
          <w:tcPr>
            <w:tcW w:w="2520" w:type="dxa"/>
          </w:tcPr>
          <w:p w:rsidR="00C42398" w:rsidRPr="00C42398" w:rsidRDefault="00C42398" w:rsidP="003B42A9">
            <w:pPr>
              <w:spacing w:after="0" w:line="240" w:lineRule="auto"/>
              <w:contextualSpacing/>
              <w:rPr>
                <w:rFonts w:asciiTheme="majorHAnsi" w:hAnsiTheme="majorHAnsi"/>
                <w:sz w:val="22"/>
                <w:szCs w:val="22"/>
              </w:rPr>
            </w:pPr>
          </w:p>
        </w:tc>
        <w:tc>
          <w:tcPr>
            <w:tcW w:w="38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i/>
                <w:sz w:val="22"/>
                <w:szCs w:val="22"/>
              </w:rPr>
              <w:t xml:space="preserve">Stuart Little: </w:t>
            </w:r>
            <w:r w:rsidRPr="00C42398">
              <w:rPr>
                <w:rFonts w:asciiTheme="majorHAnsi" w:hAnsiTheme="majorHAnsi"/>
                <w:sz w:val="22"/>
                <w:szCs w:val="22"/>
              </w:rPr>
              <w:t>One chapter</w:t>
            </w: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10</w:t>
            </w:r>
          </w:p>
        </w:tc>
        <w:tc>
          <w:tcPr>
            <w:tcW w:w="2970" w:type="dxa"/>
          </w:tcPr>
          <w:p w:rsidR="00C42398" w:rsidRPr="00C42398" w:rsidRDefault="00C42398" w:rsidP="003B42A9">
            <w:pPr>
              <w:spacing w:after="0" w:line="240" w:lineRule="auto"/>
              <w:contextualSpacing/>
              <w:rPr>
                <w:rFonts w:asciiTheme="majorHAnsi" w:hAnsiTheme="majorHAnsi"/>
                <w:sz w:val="22"/>
                <w:szCs w:val="22"/>
              </w:rPr>
            </w:pPr>
          </w:p>
        </w:tc>
        <w:tc>
          <w:tcPr>
            <w:tcW w:w="2610" w:type="dxa"/>
          </w:tcPr>
          <w:p w:rsidR="00C42398" w:rsidRPr="00C42398" w:rsidRDefault="00C42398" w:rsidP="003B42A9">
            <w:pPr>
              <w:spacing w:after="0" w:line="240" w:lineRule="auto"/>
              <w:contextualSpacing/>
              <w:rPr>
                <w:rFonts w:asciiTheme="majorHAnsi" w:hAnsiTheme="majorHAnsi"/>
                <w:sz w:val="22"/>
                <w:szCs w:val="22"/>
              </w:rPr>
            </w:pPr>
          </w:p>
        </w:tc>
        <w:tc>
          <w:tcPr>
            <w:tcW w:w="2520" w:type="dxa"/>
          </w:tcPr>
          <w:p w:rsidR="00C42398" w:rsidRPr="00C42398" w:rsidRDefault="00C42398" w:rsidP="003B42A9">
            <w:pPr>
              <w:spacing w:after="0" w:line="240" w:lineRule="auto"/>
              <w:contextualSpacing/>
              <w:rPr>
                <w:rFonts w:asciiTheme="majorHAnsi" w:hAnsiTheme="majorHAnsi"/>
                <w:sz w:val="22"/>
                <w:szCs w:val="22"/>
              </w:rPr>
            </w:pPr>
          </w:p>
        </w:tc>
        <w:tc>
          <w:tcPr>
            <w:tcW w:w="3870" w:type="dxa"/>
          </w:tcPr>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i/>
                <w:sz w:val="22"/>
                <w:szCs w:val="22"/>
              </w:rPr>
              <w:t xml:space="preserve">Mr. Popper’s Penguins: </w:t>
            </w:r>
            <w:r w:rsidRPr="00C42398">
              <w:rPr>
                <w:rFonts w:asciiTheme="majorHAnsi" w:hAnsiTheme="majorHAnsi"/>
                <w:sz w:val="22"/>
                <w:szCs w:val="22"/>
              </w:rPr>
              <w:t>One chapter</w:t>
            </w:r>
          </w:p>
        </w:tc>
      </w:tr>
      <w:tr w:rsidR="00C42398" w:rsidRPr="00C42398" w:rsidTr="003B42A9">
        <w:tc>
          <w:tcPr>
            <w:tcW w:w="1458" w:type="dxa"/>
          </w:tcPr>
          <w:p w:rsidR="00C42398" w:rsidRPr="00C42398" w:rsidRDefault="00C42398" w:rsidP="003B42A9">
            <w:pPr>
              <w:spacing w:after="0" w:line="240" w:lineRule="auto"/>
              <w:contextualSpacing/>
              <w:jc w:val="center"/>
              <w:rPr>
                <w:rFonts w:asciiTheme="majorHAnsi" w:hAnsiTheme="majorHAnsi"/>
                <w:sz w:val="22"/>
                <w:szCs w:val="22"/>
              </w:rPr>
            </w:pPr>
            <w:r w:rsidRPr="00C42398">
              <w:rPr>
                <w:rFonts w:asciiTheme="majorHAnsi" w:hAnsiTheme="majorHAnsi"/>
                <w:sz w:val="22"/>
                <w:szCs w:val="22"/>
              </w:rPr>
              <w:t>11</w:t>
            </w:r>
          </w:p>
        </w:tc>
        <w:tc>
          <w:tcPr>
            <w:tcW w:w="2970" w:type="dxa"/>
          </w:tcPr>
          <w:p w:rsidR="00C42398" w:rsidRPr="00C42398" w:rsidRDefault="00C42398" w:rsidP="003B42A9">
            <w:pPr>
              <w:spacing w:after="0" w:line="240" w:lineRule="auto"/>
              <w:contextualSpacing/>
              <w:rPr>
                <w:rFonts w:asciiTheme="majorHAnsi" w:hAnsiTheme="majorHAnsi"/>
                <w:sz w:val="22"/>
                <w:szCs w:val="22"/>
              </w:rPr>
            </w:pPr>
          </w:p>
        </w:tc>
        <w:tc>
          <w:tcPr>
            <w:tcW w:w="2610" w:type="dxa"/>
          </w:tcPr>
          <w:p w:rsidR="00C42398" w:rsidRPr="00C42398" w:rsidRDefault="00C42398" w:rsidP="003B42A9">
            <w:pPr>
              <w:spacing w:after="0" w:line="240" w:lineRule="auto"/>
              <w:contextualSpacing/>
              <w:rPr>
                <w:rFonts w:asciiTheme="majorHAnsi" w:hAnsiTheme="majorHAnsi"/>
                <w:sz w:val="22"/>
                <w:szCs w:val="22"/>
              </w:rPr>
            </w:pPr>
          </w:p>
        </w:tc>
        <w:tc>
          <w:tcPr>
            <w:tcW w:w="2520" w:type="dxa"/>
          </w:tcPr>
          <w:p w:rsidR="00C42398" w:rsidRPr="00C42398" w:rsidRDefault="00C42398" w:rsidP="003B42A9">
            <w:pPr>
              <w:spacing w:after="0" w:line="240" w:lineRule="auto"/>
              <w:contextualSpacing/>
              <w:rPr>
                <w:rFonts w:asciiTheme="majorHAnsi" w:hAnsiTheme="majorHAnsi"/>
                <w:sz w:val="22"/>
                <w:szCs w:val="22"/>
              </w:rPr>
            </w:pPr>
          </w:p>
        </w:tc>
        <w:tc>
          <w:tcPr>
            <w:tcW w:w="3870" w:type="dxa"/>
          </w:tcPr>
          <w:p w:rsidR="00C42398" w:rsidRPr="00C42398" w:rsidRDefault="00C42398" w:rsidP="003B42A9">
            <w:pPr>
              <w:spacing w:after="0" w:line="240" w:lineRule="auto"/>
              <w:contextualSpacing/>
              <w:rPr>
                <w:rFonts w:asciiTheme="majorHAnsi" w:hAnsiTheme="majorHAnsi"/>
                <w:i/>
                <w:sz w:val="22"/>
                <w:szCs w:val="22"/>
              </w:rPr>
            </w:pPr>
            <w:r w:rsidRPr="00C42398">
              <w:rPr>
                <w:rFonts w:asciiTheme="majorHAnsi" w:hAnsiTheme="majorHAnsi"/>
                <w:i/>
                <w:sz w:val="22"/>
                <w:szCs w:val="22"/>
              </w:rPr>
              <w:t xml:space="preserve">Summer Reading Is Killing Me, </w:t>
            </w:r>
          </w:p>
          <w:p w:rsidR="00C42398" w:rsidRPr="00C42398" w:rsidRDefault="00C42398" w:rsidP="003B42A9">
            <w:pPr>
              <w:spacing w:after="0" w:line="240" w:lineRule="auto"/>
              <w:contextualSpacing/>
              <w:rPr>
                <w:rFonts w:asciiTheme="majorHAnsi" w:hAnsiTheme="majorHAnsi"/>
                <w:sz w:val="22"/>
                <w:szCs w:val="22"/>
              </w:rPr>
            </w:pPr>
            <w:r w:rsidRPr="00C42398">
              <w:rPr>
                <w:rFonts w:asciiTheme="majorHAnsi" w:hAnsiTheme="majorHAnsi"/>
                <w:sz w:val="22"/>
                <w:szCs w:val="22"/>
              </w:rPr>
              <w:t>chapter 1</w:t>
            </w:r>
          </w:p>
        </w:tc>
      </w:tr>
    </w:tbl>
    <w:p w:rsidR="000B1005" w:rsidRDefault="000B1005">
      <w:pPr>
        <w:spacing w:after="0" w:line="240" w:lineRule="auto"/>
        <w:rPr>
          <w:rFonts w:ascii="Cambria" w:hAnsi="Cambria"/>
        </w:rPr>
      </w:pPr>
      <w:r>
        <w:rPr>
          <w:rFonts w:ascii="Cambria" w:hAnsi="Cambria"/>
        </w:rPr>
        <w:br w:type="page"/>
      </w:r>
    </w:p>
    <w:p w:rsidR="000B1005" w:rsidRPr="00782F54" w:rsidRDefault="000B1005" w:rsidP="000B1005">
      <w:pPr>
        <w:spacing w:after="0" w:line="240" w:lineRule="auto"/>
        <w:rPr>
          <w:rFonts w:ascii="Cambria" w:hAnsi="Cambria"/>
        </w:rPr>
      </w:pPr>
      <w:r w:rsidRPr="00782F54">
        <w:rPr>
          <w:rFonts w:ascii="Cambria" w:hAnsi="Cambria"/>
        </w:rPr>
        <w:lastRenderedPageBreak/>
        <w:t xml:space="preserve">This document was prepared by the Massachusetts Department of Elementary and Secondary Education. Mitchell D. Chester, </w:t>
      </w:r>
      <w:proofErr w:type="spellStart"/>
      <w:proofErr w:type="gramStart"/>
      <w:r w:rsidRPr="00782F54">
        <w:rPr>
          <w:rFonts w:ascii="Cambria" w:hAnsi="Cambria"/>
        </w:rPr>
        <w:t>Ed.D</w:t>
      </w:r>
      <w:proofErr w:type="spellEnd"/>
      <w:r w:rsidRPr="00782F54">
        <w:rPr>
          <w:rFonts w:ascii="Cambria" w:hAnsi="Cambria"/>
        </w:rPr>
        <w:t>.,</w:t>
      </w:r>
      <w:proofErr w:type="gramEnd"/>
      <w:r w:rsidRPr="00782F54">
        <w:rPr>
          <w:rFonts w:ascii="Cambria" w:hAnsi="Cambria"/>
        </w:rPr>
        <w:t xml:space="preserve"> Commissioner</w:t>
      </w:r>
    </w:p>
    <w:p w:rsidR="000B1005" w:rsidRPr="00782F54" w:rsidRDefault="000B1005" w:rsidP="000B1005">
      <w:pPr>
        <w:spacing w:after="0" w:line="240" w:lineRule="auto"/>
        <w:rPr>
          <w:rFonts w:ascii="Cambria" w:hAnsi="Cambria"/>
        </w:rPr>
      </w:pPr>
    </w:p>
    <w:p w:rsidR="000B1005" w:rsidRPr="00782F54" w:rsidRDefault="000B1005" w:rsidP="000B1005">
      <w:pPr>
        <w:spacing w:after="0" w:line="240" w:lineRule="auto"/>
        <w:rPr>
          <w:rFonts w:ascii="Cambria" w:hAnsi="Cambria"/>
        </w:rPr>
      </w:pPr>
    </w:p>
    <w:p w:rsidR="000B1005" w:rsidRPr="00782F54" w:rsidRDefault="000B1005" w:rsidP="000B1005">
      <w:pPr>
        <w:spacing w:after="0" w:line="240" w:lineRule="auto"/>
        <w:rPr>
          <w:rFonts w:ascii="Cambria" w:hAnsi="Cambria"/>
        </w:rPr>
      </w:pPr>
      <w:r w:rsidRPr="00782F54">
        <w:rPr>
          <w:rFonts w:ascii="Cambria" w:hAnsi="Cambria"/>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0B1005" w:rsidRPr="00782F54" w:rsidRDefault="000B1005" w:rsidP="000B1005">
      <w:pPr>
        <w:pStyle w:val="ListParagraph"/>
        <w:spacing w:line="240" w:lineRule="auto"/>
        <w:ind w:left="0"/>
        <w:rPr>
          <w:rFonts w:ascii="Cambria" w:hAnsi="Cambria"/>
        </w:rPr>
      </w:pPr>
    </w:p>
    <w:p w:rsidR="000B1005" w:rsidRPr="00782F54" w:rsidRDefault="000B1005" w:rsidP="000B1005">
      <w:pPr>
        <w:pStyle w:val="ListParagraph"/>
        <w:spacing w:line="240" w:lineRule="auto"/>
        <w:ind w:left="0"/>
        <w:rPr>
          <w:rFonts w:ascii="Cambria" w:hAnsi="Cambria"/>
        </w:rPr>
      </w:pPr>
      <w:proofErr w:type="gramStart"/>
      <w:r w:rsidRPr="00782F54">
        <w:rPr>
          <w:rFonts w:ascii="Cambria" w:hAnsi="Cambria"/>
        </w:rPr>
        <w:t>© 2015 Massachusetts Department of Elementary and Secondary Education (ESE).</w:t>
      </w:r>
      <w:proofErr w:type="gramEnd"/>
      <w:r w:rsidRPr="00782F54">
        <w:rPr>
          <w:rFonts w:ascii="Cambria" w:hAnsi="Cambria"/>
          <w:i/>
          <w:iCs/>
        </w:rPr>
        <w:t xml:space="preserve"> </w:t>
      </w:r>
      <w:r w:rsidRPr="00782F54">
        <w:rPr>
          <w:rFonts w:ascii="Cambria" w:hAnsi="Cambria"/>
        </w:rPr>
        <w:t>ESE grants permission to use the material it has created under the terms of the Creative Commons Attribution-</w:t>
      </w:r>
      <w:proofErr w:type="spellStart"/>
      <w:r w:rsidRPr="00782F54">
        <w:rPr>
          <w:rFonts w:ascii="Cambria" w:hAnsi="Cambria"/>
        </w:rPr>
        <w:t>NonCommercial</w:t>
      </w:r>
      <w:proofErr w:type="spellEnd"/>
      <w:r w:rsidRPr="00782F54">
        <w:rPr>
          <w:rFonts w:ascii="Cambria" w:hAnsi="Cambria"/>
        </w:rPr>
        <w:t>-</w:t>
      </w:r>
      <w:proofErr w:type="spellStart"/>
      <w:r w:rsidRPr="00782F54">
        <w:rPr>
          <w:rFonts w:ascii="Cambria" w:hAnsi="Cambria"/>
        </w:rPr>
        <w:t>ShareAlike</w:t>
      </w:r>
      <w:proofErr w:type="spellEnd"/>
      <w:r w:rsidRPr="00782F54">
        <w:rPr>
          <w:rFonts w:ascii="Cambria" w:hAnsi="Cambria"/>
        </w:rPr>
        <w:t xml:space="preserve"> 3.0 </w:t>
      </w:r>
      <w:proofErr w:type="spellStart"/>
      <w:r w:rsidRPr="00782F54">
        <w:rPr>
          <w:rFonts w:ascii="Cambria" w:hAnsi="Cambria"/>
        </w:rPr>
        <w:t>Unported</w:t>
      </w:r>
      <w:proofErr w:type="spellEnd"/>
      <w:r w:rsidRPr="00782F54">
        <w:rPr>
          <w:rFonts w:ascii="Cambria" w:hAnsi="Cambria"/>
        </w:rPr>
        <w:t xml:space="preserve"> License. Additionally, the unit may also contain other third party material used with permission of the copyright holder. Please see Image and Text Credits for specific information regarding third copyrights. </w:t>
      </w:r>
    </w:p>
    <w:p w:rsidR="000B1005" w:rsidRPr="00782F54" w:rsidRDefault="000B1005" w:rsidP="000B1005">
      <w:pPr>
        <w:spacing w:line="240" w:lineRule="auto"/>
        <w:rPr>
          <w:rFonts w:ascii="Cambria" w:hAnsi="Cambria"/>
          <w:color w:val="000000"/>
        </w:rPr>
      </w:pPr>
      <w:r w:rsidRPr="00782F54">
        <w:rPr>
          <w:rFonts w:ascii="Cambria" w:hAnsi="Cambria"/>
          <w:color w:val="000000"/>
        </w:rPr>
        <w:t>The contents of this Model Curriculum Unit were developed under a grant from the U. S. Department of Education. However, those contents do not necessarily represent the policy of the   U.S. Department of Education, and you should not assume endorsement by the Federal Government.</w:t>
      </w:r>
    </w:p>
    <w:p w:rsidR="000B1005" w:rsidRPr="00782F54" w:rsidRDefault="000B1005" w:rsidP="000B1005">
      <w:pPr>
        <w:spacing w:line="240" w:lineRule="auto"/>
        <w:rPr>
          <w:rFonts w:ascii="Cambria" w:hAnsi="Cambria"/>
          <w:color w:val="000000"/>
        </w:rPr>
      </w:pPr>
      <w:proofErr w:type="gramStart"/>
      <w:r w:rsidRPr="00782F54">
        <w:rPr>
          <w:rFonts w:ascii="Cambria" w:hAnsi="Cambria"/>
        </w:rPr>
        <w:t>Massachusetts Department of Elementary and Secondary Education, 75 Pleasant St, Malden, MA 02148-4906.</w:t>
      </w:r>
      <w:proofErr w:type="gramEnd"/>
      <w:r w:rsidRPr="00782F54">
        <w:rPr>
          <w:rFonts w:ascii="Cambria" w:hAnsi="Cambria"/>
        </w:rPr>
        <w:t xml:space="preserve"> Phone 781-338-3300, TTY: N.E.T. Relay 800-439-2370,</w:t>
      </w:r>
      <w:r w:rsidRPr="00782F54">
        <w:rPr>
          <w:rFonts w:ascii="Cambria" w:hAnsi="Cambria"/>
          <w:color w:val="1F497D"/>
        </w:rPr>
        <w:t xml:space="preserve"> </w:t>
      </w:r>
      <w:hyperlink r:id="rId7" w:history="1">
        <w:r w:rsidRPr="00782F54">
          <w:rPr>
            <w:rStyle w:val="Hyperlink"/>
            <w:rFonts w:ascii="Cambria" w:hAnsi="Cambria"/>
          </w:rPr>
          <w:t>www.doe.mass.edu</w:t>
        </w:r>
      </w:hyperlink>
    </w:p>
    <w:p w:rsidR="00311920" w:rsidRDefault="00311920"/>
    <w:sectPr w:rsidR="00311920" w:rsidSect="000B1005">
      <w:headerReference w:type="default" r:id="rId8"/>
      <w:footerReference w:type="default" r:id="rId9"/>
      <w:pgSz w:w="15840" w:h="12240" w:orient="landscape"/>
      <w:pgMar w:top="1555"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AE" w:rsidRDefault="005872AE" w:rsidP="000B1005">
      <w:pPr>
        <w:spacing w:after="0" w:line="240" w:lineRule="auto"/>
      </w:pPr>
      <w:r>
        <w:separator/>
      </w:r>
    </w:p>
  </w:endnote>
  <w:endnote w:type="continuationSeparator" w:id="0">
    <w:p w:rsidR="005872AE" w:rsidRDefault="005872AE" w:rsidP="000B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5" w:rsidRPr="007F75F1" w:rsidRDefault="000B1005" w:rsidP="000B1005">
    <w:pPr>
      <w:tabs>
        <w:tab w:val="left" w:pos="8280"/>
        <w:tab w:val="left" w:pos="8370"/>
        <w:tab w:val="left" w:pos="8460"/>
        <w:tab w:val="left" w:pos="8730"/>
      </w:tabs>
      <w:spacing w:after="0" w:line="240" w:lineRule="auto"/>
      <w:ind w:hanging="179"/>
      <w:rPr>
        <w:rFonts w:ascii="Arial Narrow" w:hAnsi="Arial Narrow"/>
        <w:sz w:val="20"/>
        <w:szCs w:val="20"/>
      </w:rPr>
    </w:pPr>
    <w:r>
      <w:rPr>
        <w:rFonts w:ascii="Arial Narrow" w:eastAsia="Arial Narrow" w:hAnsi="Arial Narrow" w:cs="Arial Narrow"/>
        <w:noProof/>
        <w:sz w:val="20"/>
        <w:szCs w:val="20"/>
        <w:lang w:eastAsia="en-US"/>
      </w:rPr>
      <w:drawing>
        <wp:inline distT="0" distB="0" distL="0" distR="0" wp14:anchorId="75305C8B" wp14:editId="5B5B2D71">
          <wp:extent cx="861060" cy="3048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sidRPr="007F75F1">
      <w:rPr>
        <w:rFonts w:ascii="Arial Narrow" w:hAnsi="Arial Narrow"/>
        <w:sz w:val="20"/>
        <w:szCs w:val="20"/>
      </w:rPr>
      <w:t xml:space="preserve"> This work is licensed by the MA Department of Elementary &amp; Secondary Education under the Creative Commons Attribution-</w:t>
    </w:r>
    <w:proofErr w:type="spellStart"/>
    <w:r w:rsidRPr="007F75F1">
      <w:rPr>
        <w:rFonts w:ascii="Arial Narrow" w:hAnsi="Arial Narrow"/>
        <w:sz w:val="20"/>
        <w:szCs w:val="20"/>
      </w:rPr>
      <w:t>NonCommercial</w:t>
    </w:r>
    <w:proofErr w:type="spellEnd"/>
    <w:r w:rsidRPr="007F75F1">
      <w:rPr>
        <w:rFonts w:ascii="Arial Narrow" w:hAnsi="Arial Narrow"/>
        <w:sz w:val="20"/>
        <w:szCs w:val="20"/>
      </w:rPr>
      <w:t>-</w:t>
    </w:r>
    <w:proofErr w:type="spellStart"/>
    <w:r w:rsidRPr="007F75F1">
      <w:rPr>
        <w:rFonts w:ascii="Arial Narrow" w:hAnsi="Arial Narrow"/>
        <w:sz w:val="20"/>
        <w:szCs w:val="20"/>
      </w:rPr>
      <w:t>ShareAlike</w:t>
    </w:r>
    <w:proofErr w:type="spellEnd"/>
    <w:r w:rsidRPr="007F75F1">
      <w:rPr>
        <w:rFonts w:ascii="Arial Narrow" w:hAnsi="Arial Narrow"/>
        <w:sz w:val="20"/>
        <w:szCs w:val="20"/>
      </w:rPr>
      <w:t xml:space="preserve"> 3.0 </w:t>
    </w:r>
    <w:proofErr w:type="spellStart"/>
    <w:r w:rsidRPr="007F75F1">
      <w:rPr>
        <w:rFonts w:ascii="Arial Narrow" w:hAnsi="Arial Narrow"/>
        <w:sz w:val="20"/>
        <w:szCs w:val="20"/>
      </w:rPr>
      <w:t>Unported</w:t>
    </w:r>
    <w:proofErr w:type="spellEnd"/>
    <w:r w:rsidRPr="007F75F1">
      <w:rPr>
        <w:rFonts w:ascii="Arial Narrow" w:hAnsi="Arial Narrow"/>
        <w:sz w:val="20"/>
        <w:szCs w:val="20"/>
      </w:rPr>
      <w:t xml:space="preserve"> License (CC BY-NC-SA 3.0). Educators may use, adapt, and/or share. Not for commercial use.</w:t>
    </w:r>
    <w:r w:rsidRPr="007F75F1">
      <w:rPr>
        <w:rFonts w:ascii="Arial Narrow" w:hAnsi="Arial Narrow"/>
        <w:b/>
        <w:bCs/>
        <w:sz w:val="20"/>
        <w:szCs w:val="20"/>
      </w:rPr>
      <w:t xml:space="preserve"> </w:t>
    </w:r>
    <w:r w:rsidRPr="007F75F1">
      <w:rPr>
        <w:rFonts w:ascii="Arial Narrow" w:hAnsi="Arial Narrow"/>
        <w:sz w:val="20"/>
        <w:szCs w:val="20"/>
      </w:rPr>
      <w:t xml:space="preserve">To view a copy of the license, visit </w:t>
    </w:r>
    <w:hyperlink r:id="rId2" w:history="1">
      <w:r w:rsidRPr="007F75F1">
        <w:rPr>
          <w:rStyle w:val="Hyperlink"/>
          <w:rFonts w:ascii="Arial Narrow" w:hAnsi="Arial Narrow"/>
          <w:b/>
          <w:bCs/>
          <w:sz w:val="20"/>
          <w:szCs w:val="20"/>
        </w:rPr>
        <w:t>http://creativecommons.org/licenses/by-nc-sa/3.0/</w:t>
      </w:r>
    </w:hyperlink>
    <w:r w:rsidRPr="007F75F1">
      <w:rPr>
        <w:rFonts w:ascii="Arial Narrow" w:hAnsi="Arial Narrow"/>
        <w:sz w:val="20"/>
        <w:szCs w:val="20"/>
      </w:rPr>
      <w:t xml:space="preserve">. </w:t>
    </w:r>
  </w:p>
  <w:p w:rsidR="000B1005" w:rsidRDefault="000B1005" w:rsidP="000B1005">
    <w:pPr>
      <w:pStyle w:val="Footer"/>
    </w:pPr>
    <w:r w:rsidRPr="007F75F1">
      <w:rPr>
        <w:rFonts w:ascii="Arial Narrow" w:hAnsi="Arial Narrow"/>
        <w:sz w:val="20"/>
        <w:szCs w:val="20"/>
      </w:rPr>
      <w:t xml:space="preserve">July 2015                                                                                           </w:t>
    </w:r>
    <w:r>
      <w:rPr>
        <w:rFonts w:ascii="Arial Narrow" w:hAnsi="Arial Narrow"/>
        <w:sz w:val="20"/>
        <w:szCs w:val="20"/>
      </w:rPr>
      <w:tab/>
    </w:r>
    <w:r>
      <w:rPr>
        <w:rFonts w:ascii="Arial Narrow" w:hAnsi="Arial Narrow"/>
        <w:sz w:val="20"/>
        <w:szCs w:val="20"/>
      </w:rPr>
      <w:tab/>
    </w:r>
    <w:r w:rsidRPr="007F75F1">
      <w:rPr>
        <w:rFonts w:ascii="Arial Narrow" w:hAnsi="Arial Narrow"/>
        <w:sz w:val="20"/>
        <w:szCs w:val="20"/>
      </w:rPr>
      <w:t xml:space="preserve">                                                               </w:t>
    </w:r>
    <w:r w:rsidRPr="007F75F1">
      <w:rPr>
        <w:rFonts w:ascii="Arial Narrow" w:eastAsia="Arial Narrow" w:hAnsi="Arial Narrow" w:cs="Arial Narrow"/>
        <w:sz w:val="20"/>
        <w:szCs w:val="20"/>
      </w:rPr>
      <w:t xml:space="preserve">Page </w:t>
    </w:r>
    <w:r w:rsidRPr="007F75F1">
      <w:rPr>
        <w:rFonts w:ascii="Arial Narrow" w:hAnsi="Arial Narrow"/>
        <w:sz w:val="20"/>
        <w:szCs w:val="20"/>
      </w:rPr>
      <w:fldChar w:fldCharType="begin"/>
    </w:r>
    <w:r w:rsidRPr="007F75F1">
      <w:rPr>
        <w:rFonts w:ascii="Arial Narrow" w:hAnsi="Arial Narrow"/>
        <w:sz w:val="20"/>
        <w:szCs w:val="20"/>
      </w:rPr>
      <w:instrText>PAGE</w:instrText>
    </w:r>
    <w:r w:rsidRPr="007F75F1">
      <w:rPr>
        <w:rFonts w:ascii="Arial Narrow" w:hAnsi="Arial Narrow"/>
        <w:sz w:val="20"/>
        <w:szCs w:val="20"/>
      </w:rPr>
      <w:fldChar w:fldCharType="separate"/>
    </w:r>
    <w:r w:rsidR="00C42398">
      <w:rPr>
        <w:rFonts w:ascii="Arial Narrow" w:hAnsi="Arial Narrow"/>
        <w:noProof/>
        <w:sz w:val="20"/>
        <w:szCs w:val="20"/>
      </w:rPr>
      <w:t>1</w:t>
    </w:r>
    <w:r w:rsidRPr="007F75F1">
      <w:rPr>
        <w:rFonts w:ascii="Arial Narrow" w:hAnsi="Arial Narrow"/>
        <w:noProof/>
        <w:sz w:val="20"/>
        <w:szCs w:val="20"/>
      </w:rPr>
      <w:fldChar w:fldCharType="end"/>
    </w:r>
    <w:r w:rsidRPr="007F75F1">
      <w:rPr>
        <w:rFonts w:ascii="Arial Narrow" w:eastAsia="Arial Narrow" w:hAnsi="Arial Narrow" w:cs="Arial Narrow"/>
        <w:sz w:val="20"/>
        <w:szCs w:val="20"/>
      </w:rPr>
      <w:t xml:space="preserve"> of </w:t>
    </w:r>
    <w:r w:rsidRPr="007F75F1">
      <w:rPr>
        <w:rFonts w:ascii="Arial Narrow" w:hAnsi="Arial Narrow"/>
        <w:sz w:val="20"/>
        <w:szCs w:val="20"/>
      </w:rPr>
      <w:fldChar w:fldCharType="begin"/>
    </w:r>
    <w:r w:rsidRPr="007F75F1">
      <w:rPr>
        <w:rFonts w:ascii="Arial Narrow" w:hAnsi="Arial Narrow"/>
        <w:sz w:val="20"/>
        <w:szCs w:val="20"/>
      </w:rPr>
      <w:instrText>NUMPAGES</w:instrText>
    </w:r>
    <w:r w:rsidRPr="007F75F1">
      <w:rPr>
        <w:rFonts w:ascii="Arial Narrow" w:hAnsi="Arial Narrow"/>
        <w:sz w:val="20"/>
        <w:szCs w:val="20"/>
      </w:rPr>
      <w:fldChar w:fldCharType="separate"/>
    </w:r>
    <w:r w:rsidR="00C42398">
      <w:rPr>
        <w:rFonts w:ascii="Arial Narrow" w:hAnsi="Arial Narrow"/>
        <w:noProof/>
        <w:sz w:val="20"/>
        <w:szCs w:val="20"/>
      </w:rPr>
      <w:t>2</w:t>
    </w:r>
    <w:r w:rsidRPr="007F75F1">
      <w:rPr>
        <w:rFonts w:ascii="Arial Narrow" w:hAnsi="Arial Narrow"/>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AE" w:rsidRDefault="005872AE" w:rsidP="000B1005">
      <w:pPr>
        <w:spacing w:after="0" w:line="240" w:lineRule="auto"/>
      </w:pPr>
      <w:r>
        <w:separator/>
      </w:r>
    </w:p>
  </w:footnote>
  <w:footnote w:type="continuationSeparator" w:id="0">
    <w:p w:rsidR="005872AE" w:rsidRDefault="005872AE" w:rsidP="000B1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5" w:rsidRDefault="000B1005" w:rsidP="000B1005">
    <w:pPr>
      <w:pStyle w:val="Header"/>
    </w:pPr>
    <w:r>
      <w:rPr>
        <w:noProof/>
      </w:rPr>
      <w:drawing>
        <wp:anchor distT="0" distB="0" distL="114300" distR="114300" simplePos="0" relativeHeight="251659264" behindDoc="0" locked="0" layoutInCell="1" allowOverlap="1" wp14:anchorId="0B351957" wp14:editId="0F19E079">
          <wp:simplePos x="0" y="0"/>
          <wp:positionH relativeFrom="column">
            <wp:posOffset>7406005</wp:posOffset>
          </wp:positionH>
          <wp:positionV relativeFrom="paragraph">
            <wp:posOffset>132080</wp:posOffset>
          </wp:positionV>
          <wp:extent cx="1544955" cy="757555"/>
          <wp:effectExtent l="19050" t="0" r="0" b="0"/>
          <wp:wrapSquare wrapText="bothSides"/>
          <wp:docPr id="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rPr>
      <w:drawing>
        <wp:inline distT="0" distB="0" distL="0" distR="0" wp14:anchorId="6EC52878" wp14:editId="1CAE6B5F">
          <wp:extent cx="1584960" cy="1066800"/>
          <wp:effectExtent l="19050" t="0" r="0" b="0"/>
          <wp:docPr id="6" name="Picture 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p w:rsidR="000B1005" w:rsidRDefault="000B1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05"/>
    <w:rsid w:val="000B1005"/>
    <w:rsid w:val="002835A4"/>
    <w:rsid w:val="00311920"/>
    <w:rsid w:val="00526459"/>
    <w:rsid w:val="005872AE"/>
    <w:rsid w:val="006E1A51"/>
    <w:rsid w:val="00C42398"/>
    <w:rsid w:val="00D567AE"/>
    <w:rsid w:val="00F46AC2"/>
    <w:rsid w:val="00F4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05"/>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05"/>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B1005"/>
  </w:style>
  <w:style w:type="paragraph" w:styleId="Footer">
    <w:name w:val="footer"/>
    <w:basedOn w:val="Normal"/>
    <w:link w:val="FooterChar"/>
    <w:uiPriority w:val="99"/>
    <w:unhideWhenUsed/>
    <w:rsid w:val="000B1005"/>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B1005"/>
  </w:style>
  <w:style w:type="paragraph" w:styleId="BalloonText">
    <w:name w:val="Balloon Text"/>
    <w:basedOn w:val="Normal"/>
    <w:link w:val="BalloonTextChar"/>
    <w:uiPriority w:val="99"/>
    <w:semiHidden/>
    <w:unhideWhenUsed/>
    <w:rsid w:val="000B100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B1005"/>
    <w:rPr>
      <w:rFonts w:ascii="Tahoma" w:hAnsi="Tahoma" w:cs="Tahoma"/>
      <w:sz w:val="16"/>
      <w:szCs w:val="16"/>
    </w:rPr>
  </w:style>
  <w:style w:type="character" w:styleId="Hyperlink">
    <w:name w:val="Hyperlink"/>
    <w:basedOn w:val="DefaultParagraphFont"/>
    <w:uiPriority w:val="99"/>
    <w:unhideWhenUsed/>
    <w:rsid w:val="000B1005"/>
    <w:rPr>
      <w:color w:val="0000FF" w:themeColor="hyperlink"/>
      <w:u w:val="single"/>
    </w:rPr>
  </w:style>
  <w:style w:type="paragraph" w:styleId="ListParagraph">
    <w:name w:val="List Paragraph"/>
    <w:basedOn w:val="Normal"/>
    <w:uiPriority w:val="34"/>
    <w:qFormat/>
    <w:rsid w:val="000B1005"/>
    <w:pPr>
      <w:ind w:left="720"/>
      <w:contextualSpacing/>
    </w:pPr>
  </w:style>
  <w:style w:type="table" w:styleId="TableGrid">
    <w:name w:val="Table Grid"/>
    <w:basedOn w:val="TableNormal"/>
    <w:uiPriority w:val="99"/>
    <w:rsid w:val="00C42398"/>
    <w:rPr>
      <w:rFonts w:ascii="Calibri" w:eastAsia="Times New Roman"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05"/>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05"/>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B1005"/>
  </w:style>
  <w:style w:type="paragraph" w:styleId="Footer">
    <w:name w:val="footer"/>
    <w:basedOn w:val="Normal"/>
    <w:link w:val="FooterChar"/>
    <w:uiPriority w:val="99"/>
    <w:unhideWhenUsed/>
    <w:rsid w:val="000B1005"/>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B1005"/>
  </w:style>
  <w:style w:type="paragraph" w:styleId="BalloonText">
    <w:name w:val="Balloon Text"/>
    <w:basedOn w:val="Normal"/>
    <w:link w:val="BalloonTextChar"/>
    <w:uiPriority w:val="99"/>
    <w:semiHidden/>
    <w:unhideWhenUsed/>
    <w:rsid w:val="000B100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B1005"/>
    <w:rPr>
      <w:rFonts w:ascii="Tahoma" w:hAnsi="Tahoma" w:cs="Tahoma"/>
      <w:sz w:val="16"/>
      <w:szCs w:val="16"/>
    </w:rPr>
  </w:style>
  <w:style w:type="character" w:styleId="Hyperlink">
    <w:name w:val="Hyperlink"/>
    <w:basedOn w:val="DefaultParagraphFont"/>
    <w:uiPriority w:val="99"/>
    <w:unhideWhenUsed/>
    <w:rsid w:val="000B1005"/>
    <w:rPr>
      <w:color w:val="0000FF" w:themeColor="hyperlink"/>
      <w:u w:val="single"/>
    </w:rPr>
  </w:style>
  <w:style w:type="paragraph" w:styleId="ListParagraph">
    <w:name w:val="List Paragraph"/>
    <w:basedOn w:val="Normal"/>
    <w:uiPriority w:val="34"/>
    <w:qFormat/>
    <w:rsid w:val="000B1005"/>
    <w:pPr>
      <w:ind w:left="720"/>
      <w:contextualSpacing/>
    </w:pPr>
  </w:style>
  <w:style w:type="table" w:styleId="TableGrid">
    <w:name w:val="Table Grid"/>
    <w:basedOn w:val="TableNormal"/>
    <w:uiPriority w:val="99"/>
    <w:rsid w:val="00C42398"/>
    <w:rPr>
      <w:rFonts w:ascii="Calibri" w:eastAsia="Times New Roman"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e.mas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3</cp:revision>
  <dcterms:created xsi:type="dcterms:W3CDTF">2016-05-09T17:08:00Z</dcterms:created>
  <dcterms:modified xsi:type="dcterms:W3CDTF">2016-05-09T17:40:00Z</dcterms:modified>
</cp:coreProperties>
</file>